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Appointment sheet</w:t>
      </w:r>
    </w:p>
    <w:p>
      <w:r>
        <w:rPr>
          <w:b w:val="0"/>
          <w:sz w:val="20"/>
        </w:rPr>
        <w:t>One sheet per visit. Blank boxes are fine. Continue on the back if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737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Name or chosen identifier:                         Date / time: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Service / clinician:                                      Visit type: in person / phone / video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247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BEFORE | What matters most to me today?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531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My questions | Choose up to three</w:t>
            </w:r>
          </w:p>
          <w:p>
            <w:pPr>
              <w:spacing w:after="0" w:line="320" w:lineRule="exact"/>
            </w:pPr>
            <w:r>
              <w:rPr>
                <w:b w:val="0"/>
                <w:sz w:val="18"/>
              </w:rPr>
              <w:t>1.</w:t>
            </w:r>
          </w:p>
          <w:p>
            <w:pPr>
              <w:spacing w:after="0" w:line="320" w:lineRule="exact"/>
            </w:pPr>
            <w:r>
              <w:rPr>
                <w:b w:val="0"/>
                <w:sz w:val="18"/>
              </w:rPr>
              <w:t>2.</w:t>
            </w:r>
          </w:p>
          <w:p>
            <w:pPr>
              <w:spacing w:after="0" w:line="320" w:lineRule="exact"/>
            </w:pPr>
            <w:r>
              <w:rPr>
                <w:b w:val="0"/>
                <w:sz w:val="18"/>
              </w:rPr>
              <w:t>3.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077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Changes since the last visit / information to bring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Bring your current medicines list and relevant letters. Mark uncertain details “not sure”.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928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DURING | What I understood from the conversation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“Can I read back what I understood and check whether I have missed anything?”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701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NEXT | What happens, who arranges it, and by when?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For tests: who reviews the result, how will I hear, and whom do I contact if I do not?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30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What changes mean I should seek help sooner, and how?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Record advice from the clinician. This sheet does not provide medical advice.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96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Still unclear / contact for questions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p>
      <w:pPr>
        <w:spacing w:after="0"/>
      </w:pPr>
      <w:r>
        <w:rPr>
          <w:sz w:val="18"/>
        </w:rPr>
        <w:t>Checking understanding is not sign-off. No clinician signature is needed. Ask about unclear instructions before changing treatment. Do not wait for paperwork when you need care.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907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b w:val="0"/>
        <w:sz w:val="16"/>
      </w:rPr>
      <w:t xml:space="preserve">v1.0.1 | 22 September 2026 | Patient support, not a clinical record | </w:t>
    </w:r>
    <w:fldSimple w:instr="PAGE"/>
  </w:p>
  <w:p>
    <w:pPr>
      <w:spacing w:after="0"/>
    </w:pPr>
    <w:r>
      <w:rPr>
        <w:b w:val="0"/>
        <w:sz w:val="16"/>
      </w:rPr>
      <w:t>© 2026 Andrew Brogan | MIT licence: continuity.stationarystore.ie/LICENSE.txt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 w:val="0"/>
        <w:sz w:val="16"/>
      </w:rPr>
      <w:t>PATIENT-HELD CONTINUITY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82B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="Liberation Sans" w:hAnsi="Liberation Sans"/>
      <w:b/>
      <w:bCs/>
      <w:color w:val="182B3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Liberation Sans" w:hAnsi="Liberation Sans"/>
      <w:b/>
      <w:bCs/>
      <w:color w:val="182B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="Liberation Sans" w:hAnsi="Liberation Sans"/>
      <w:color w:val="182B3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sheet</dc:title>
  <dc:subject>Patient-held Continuity Pack v1.0.1: blank public resource</dc:subject>
  <dc:creator>Andrew Brogan</dc:creator>
  <cp:keywords>patient support, blank template, v1.0.1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