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My medicines information</w:t>
      </w:r>
    </w:p>
    <w:p>
      <w:r>
        <w:rPr>
          <w:b w:val="0"/>
          <w:sz w:val="20"/>
        </w:rPr>
        <w:t>Optional worksheet. You can use an existing current pharmacy or HSE medicines list instead.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78"/>
      </w:tblGrid>
      <w:tr>
        <w:trPr>
          <w:trHeight w:val="907" w:hRule="atLeast"/>
          <w:cantSplit/>
        </w:trPr>
        <w:tc>
          <w:tcPr>
            <w:tcW w:type="dxa" w:w="9978"/>
          </w:tcPr>
          <w:p>
            <w:pPr>
              <w:spacing w:after="40"/>
            </w:pPr>
            <w:r>
              <w:rPr>
                <w:b/>
                <w:sz w:val="21"/>
              </w:rPr>
              <w:t>Name / chosen identifier:                           Updated on:</w:t>
            </w:r>
          </w:p>
          <w:p>
            <w:pPr>
              <w:spacing w:after="0"/>
            </w:pPr>
            <w:r>
              <w:rPr>
                <w:b w:val="0"/>
                <w:sz w:val="18"/>
              </w:rPr>
              <w:t>Information came from / list date:</w:t>
            </w:r>
          </w:p>
        </w:tc>
      </w:tr>
    </w:tbl>
    <w:p>
      <w:pPr>
        <w:spacing w:after="0" w:before="0" w:line="60" w:lineRule="exact"/>
      </w:pPr>
      <w:r>
        <w:rPr>
          <w:b w:val="0"/>
          <w:sz w:val="4"/>
        </w:rPr>
      </w:r>
    </w:p>
    <w:p>
      <w:r>
        <w:t>Include medicines you take regularly or occasionally, non-prescription products, vitamins and supplements. Copy instructions from a current source; write “not sure” and ask a pharmacist or clinician about gaps or differences. This is not a prescription.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38"/>
        <w:gridCol w:w="2665"/>
        <w:gridCol w:w="2438"/>
        <w:gridCol w:w="2438"/>
      </w:tblGrid>
      <w:tr>
        <w:trPr>
          <w:tblHeader/>
        </w:trPr>
        <w:tc>
          <w:tcPr>
            <w:tcW w:type="dxa" w:w="2438"/>
          </w:tcPr>
          <w:p>
            <w:r>
              <w:rPr>
                <w:b/>
                <w:sz w:val="18"/>
              </w:rPr>
              <w:t>Name and strength</w:t>
            </w:r>
          </w:p>
        </w:tc>
        <w:tc>
          <w:tcPr>
            <w:tcW w:type="dxa" w:w="2665"/>
          </w:tcPr>
          <w:p>
            <w:r>
              <w:rPr>
                <w:b/>
                <w:sz w:val="18"/>
              </w:rPr>
              <w:t>How much I take, how I take it and when</w:t>
            </w:r>
          </w:p>
        </w:tc>
        <w:tc>
          <w:tcPr>
            <w:tcW w:type="dxa" w:w="2438"/>
          </w:tcPr>
          <w:p>
            <w:r>
              <w:rPr>
                <w:b/>
                <w:sz w:val="18"/>
              </w:rPr>
              <w:t>Regular / as needed; instructions or limits</w:t>
            </w:r>
          </w:p>
        </w:tc>
        <w:tc>
          <w:tcPr>
            <w:tcW w:type="dxa" w:w="2438"/>
          </w:tcPr>
          <w:p>
            <w:r>
              <w:rPr>
                <w:b/>
                <w:sz w:val="18"/>
              </w:rPr>
              <w:t>Source / date; notes or questions</w:t>
            </w:r>
          </w:p>
        </w:tc>
      </w:tr>
      <w:tr>
        <w:trPr>
          <w:trHeight w:val="1417" w:hRule="atLeast"/>
          <w:cantSplit/>
        </w:trPr>
        <w:tc>
          <w:tcPr>
            <w:tcW w:type="dxa" w:w="2438"/>
          </w:tcPr>
          <w:p/>
        </w:tc>
        <w:tc>
          <w:tcPr>
            <w:tcW w:type="dxa" w:w="2665"/>
          </w:tcPr>
          <w:p/>
        </w:tc>
        <w:tc>
          <w:tcPr>
            <w:tcW w:type="dxa" w:w="2438"/>
          </w:tcPr>
          <w:p/>
        </w:tc>
        <w:tc>
          <w:tcPr>
            <w:tcW w:type="dxa" w:w="2438"/>
          </w:tcPr>
          <w:p/>
        </w:tc>
      </w:tr>
      <w:tr>
        <w:trPr>
          <w:trHeight w:val="1417" w:hRule="atLeast"/>
          <w:cantSplit/>
        </w:trPr>
        <w:tc>
          <w:tcPr>
            <w:tcW w:type="dxa" w:w="2438"/>
          </w:tcPr>
          <w:p/>
        </w:tc>
        <w:tc>
          <w:tcPr>
            <w:tcW w:type="dxa" w:w="2665"/>
          </w:tcPr>
          <w:p/>
        </w:tc>
        <w:tc>
          <w:tcPr>
            <w:tcW w:type="dxa" w:w="2438"/>
          </w:tcPr>
          <w:p/>
        </w:tc>
        <w:tc>
          <w:tcPr>
            <w:tcW w:type="dxa" w:w="2438"/>
          </w:tcPr>
          <w:p/>
        </w:tc>
      </w:tr>
      <w:tr>
        <w:trPr>
          <w:trHeight w:val="1417" w:hRule="atLeast"/>
          <w:cantSplit/>
        </w:trPr>
        <w:tc>
          <w:tcPr>
            <w:tcW w:type="dxa" w:w="2438"/>
          </w:tcPr>
          <w:p/>
        </w:tc>
        <w:tc>
          <w:tcPr>
            <w:tcW w:type="dxa" w:w="2665"/>
          </w:tcPr>
          <w:p/>
        </w:tc>
        <w:tc>
          <w:tcPr>
            <w:tcW w:type="dxa" w:w="2438"/>
          </w:tcPr>
          <w:p/>
        </w:tc>
        <w:tc>
          <w:tcPr>
            <w:tcW w:type="dxa" w:w="2438"/>
          </w:tcPr>
          <w:p/>
        </w:tc>
      </w:tr>
      <w:tr>
        <w:trPr>
          <w:trHeight w:val="1417" w:hRule="atLeast"/>
          <w:cantSplit/>
        </w:trPr>
        <w:tc>
          <w:tcPr>
            <w:tcW w:type="dxa" w:w="2438"/>
          </w:tcPr>
          <w:p/>
        </w:tc>
        <w:tc>
          <w:tcPr>
            <w:tcW w:type="dxa" w:w="2665"/>
          </w:tcPr>
          <w:p/>
        </w:tc>
        <w:tc>
          <w:tcPr>
            <w:tcW w:type="dxa" w:w="2438"/>
          </w:tcPr>
          <w:p/>
        </w:tc>
        <w:tc>
          <w:tcPr>
            <w:tcW w:type="dxa" w:w="2438"/>
          </w:tcPr>
          <w:p/>
        </w:tc>
      </w:tr>
      <w:tr>
        <w:trPr>
          <w:trHeight w:val="1417" w:hRule="atLeast"/>
          <w:cantSplit/>
        </w:trPr>
        <w:tc>
          <w:tcPr>
            <w:tcW w:type="dxa" w:w="2438"/>
          </w:tcPr>
          <w:p/>
        </w:tc>
        <w:tc>
          <w:tcPr>
            <w:tcW w:type="dxa" w:w="2665"/>
          </w:tcPr>
          <w:p/>
        </w:tc>
        <w:tc>
          <w:tcPr>
            <w:tcW w:type="dxa" w:w="2438"/>
          </w:tcPr>
          <w:p/>
        </w:tc>
        <w:tc>
          <w:tcPr>
            <w:tcW w:type="dxa" w:w="2438"/>
          </w:tcPr>
          <w:p/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78"/>
      </w:tblGrid>
      <w:tr>
        <w:trPr>
          <w:trHeight w:val="1474" w:hRule="atLeast"/>
          <w:cantSplit/>
        </w:trPr>
        <w:tc>
          <w:tcPr>
            <w:tcW w:type="dxa" w:w="9978"/>
          </w:tcPr>
          <w:p>
            <w:pPr>
              <w:spacing w:after="40"/>
            </w:pPr>
            <w:r>
              <w:rPr>
                <w:b/>
                <w:sz w:val="21"/>
              </w:rPr>
              <w:t>Allergies / reactions: what caused them and what happened?</w:t>
            </w:r>
          </w:p>
          <w:p>
            <w:pPr>
              <w:spacing w:after="0"/>
            </w:pPr>
            <w:r>
              <w:rPr>
                <w:b w:val="0"/>
                <w:sz w:val="18"/>
              </w:rPr>
              <w:t>Include source / date. Write “not sure” if uncertain.</w:t>
            </w:r>
          </w:p>
        </w:tc>
      </w:tr>
    </w:tbl>
    <w:p>
      <w:pPr>
        <w:spacing w:after="0" w:before="0" w:line="60" w:lineRule="exact"/>
      </w:pPr>
      <w:r>
        <w:rPr>
          <w:b w:val="0"/>
          <w:sz w:val="4"/>
        </w:rPr>
      </w:r>
    </w:p>
    <w:p>
      <w:r>
        <w:t>Do not change treatment because of this worksheet. Keep it current after advice from your clinical team and mark replaced lists “superseded”. Use another dated sheet if you need more rows.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94" w:right="964" w:bottom="907" w:left="964" w:header="34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b w:val="0"/>
        <w:sz w:val="16"/>
      </w:rPr>
      <w:t xml:space="preserve">v1.0.1 | 22 September 2026 | Patient support, not a clinical record | </w:t>
    </w:r>
    <w:fldSimple w:instr="PAGE"/>
  </w:p>
  <w:p>
    <w:pPr>
      <w:spacing w:after="0"/>
    </w:pPr>
    <w:r>
      <w:rPr>
        <w:b w:val="0"/>
        <w:sz w:val="16"/>
      </w:rPr>
      <w:t>© 2026 Andrew Brogan | MIT licence: continuity.stationarystore.ie/LICENSE.txt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 w:val="0"/>
        <w:sz w:val="16"/>
      </w:rPr>
      <w:t>PATIENT-HELD CONTINUITY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Liberation Sans" w:hAnsi="Liberation Sans"/>
      <w:color w:val="182B32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00"/>
      <w:outlineLvl w:val="0"/>
    </w:pPr>
    <w:rPr>
      <w:rFonts w:ascii="Liberation Sans" w:hAnsi="Liberation Sans"/>
      <w:b/>
      <w:bCs/>
      <w:color w:val="182B32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Liberation Sans" w:hAnsi="Liberation Sans"/>
      <w:b/>
      <w:bCs/>
      <w:color w:val="182B32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="Liberation Sans" w:hAnsi="Liberation Sans"/>
      <w:color w:val="182B32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My medicines information</dc:title>
  <dc:subject>Patient-held Continuity Pack v1.0.1: blank public resource</dc:subject>
  <dc:creator>Andrew Brogan</dc:creator>
  <cp:keywords>patient support, blank template, v1.0.1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